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60AC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60ACA" w:rsidRDefault="0058146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60ACA" w:rsidRDefault="00581466">
            <w:pPr>
              <w:spacing w:after="0" w:line="240" w:lineRule="auto"/>
            </w:pPr>
            <w:r>
              <w:t>11806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60ACA" w:rsidRDefault="0058146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60ACA" w:rsidRDefault="00581466">
            <w:pPr>
              <w:spacing w:after="0" w:line="240" w:lineRule="auto"/>
            </w:pPr>
            <w:r>
              <w:t>OSNOVNA ŠKOLA PAKOŠTANE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60ACA" w:rsidRDefault="0058146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60ACA" w:rsidRDefault="00581466">
            <w:pPr>
              <w:spacing w:after="0" w:line="240" w:lineRule="auto"/>
            </w:pPr>
            <w:r>
              <w:t>31</w:t>
            </w:r>
          </w:p>
        </w:tc>
      </w:tr>
    </w:tbl>
    <w:p w:rsidR="00860ACA" w:rsidRDefault="00581466">
      <w:r>
        <w:br/>
      </w:r>
    </w:p>
    <w:p w:rsidR="00860ACA" w:rsidRDefault="0058146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60ACA" w:rsidRDefault="0058146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60ACA" w:rsidRDefault="0058146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1.820.511,03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2.078.943,93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1.802.772,26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2.007.835,29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860AC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17.738,77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71.108,64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400,9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30.247,77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189.886,58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627,8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860AC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30.247,77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189.886,58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627,8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860AC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860AC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12.509,00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118.777,94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949,5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Osnovna škola Pakoštane posluje u skladu sa Zakonom o odgoju i obrazovanju u osnovnoj i srednjoj školi te Statutom.</w:t>
      </w:r>
    </w:p>
    <w:p w:rsidR="00860ACA" w:rsidRDefault="00581466">
      <w:r>
        <w:t xml:space="preserve">Osnovna škola Pakoštane je matična škola, a imamo još tri područne škole, u Dragama, Vrani i na otoku </w:t>
      </w:r>
      <w:proofErr w:type="spellStart"/>
      <w:r>
        <w:t>Vrgadi</w:t>
      </w:r>
      <w:proofErr w:type="spellEnd"/>
      <w:r>
        <w:t>.</w:t>
      </w:r>
    </w:p>
    <w:p w:rsidR="00860ACA" w:rsidRDefault="00581466">
      <w:r>
        <w:lastRenderedPageBreak/>
        <w:t>Škola vodi proračunsko računov</w:t>
      </w:r>
      <w:r>
        <w:t>odstvo temeljem Pravilnika o proračunskom računovodstvu i Računskom planu, a financijske izvještaje sastavlja i predaje u skladu s odredbama Pravilnika o financijskom izvještavanju u proračunskom računovodstvu.</w:t>
      </w:r>
    </w:p>
    <w:p w:rsidR="00860ACA" w:rsidRDefault="00581466">
      <w:r>
        <w:t>Osnovna škola Pakoštane nema vlastiti žiro ra</w:t>
      </w:r>
      <w:r>
        <w:t>čun već posluje preko Riznice Zadarske županije.</w:t>
      </w:r>
    </w:p>
    <w:p w:rsidR="00860ACA" w:rsidRDefault="00581466">
      <w:r>
        <w:t>Plaćanja dobavljačima iz vlastitih prihoda su pravovremena, kao i obveze koje podmiruje Županija .</w:t>
      </w:r>
    </w:p>
    <w:p w:rsidR="00860ACA" w:rsidRDefault="00581466">
      <w:r>
        <w:t>U financijskom izvještaju PR-RAS iskazan je prihoda poslovanja u iznosu 71.108,64 eura, manjak prihoda od ne</w:t>
      </w:r>
      <w:r>
        <w:t>financijske imovine 189.886,58 eura dok je uz preneseni manjak prihoda iz 31.12.2024. u iznosu 47.098,62 eura iskazan ukupan manjak prihoda u iznosu 165.876,56 eura. Veća odstupanja u odnosu na troškove protekle godine izraženija su na pojedinim pozicijama</w:t>
      </w:r>
      <w:r>
        <w:t>, što je objašnjeno u nastavku . </w:t>
      </w:r>
    </w:p>
    <w:p w:rsidR="00860ACA" w:rsidRDefault="00581466">
      <w:r>
        <w:t> </w:t>
      </w:r>
    </w:p>
    <w:p w:rsidR="00860ACA" w:rsidRDefault="00581466">
      <w:r>
        <w:br/>
      </w:r>
    </w:p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85.762,21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Kapitalne pomoći odnose se na pomoći MZO za nabavu udžbenika za učenike, dobili smo sredstva za 2024. i 2025. godinu i pomoći Općine Pakoštane za saniranje krova u područnoj školi Vrana.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18.038,65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799,0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Tekući prijenosi odnose se na sredstva dobivena za plaće pomoćnice u nastavi, projekt Inkluzija a kapitalni prijenos  je za izradu projektne dokumentacije za nadogradnju škole.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6.919,68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178,7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Škola ima školsku dvoranu koju dajemo u zakup športskim klubovima, prihodi su povećani zbog većeg interesa i povećanja cijene sata.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Odnosi se na darovane knjige u školsku knjižnicu.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191.737,32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276.853,95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144,4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Veća razlika u ostvarenom u usporedbi sa prošlom godinom proizlazi iz povećanja prihoda za  financiranje rashoda za nabavu nefinancijske imovine koji se odnose na saniranje krova u područnoj školi Vrana.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101.128,61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3363,1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Odnosi se na kapitalna ulaganja vezana za popravak krova u područnoj školi Vrana koji je bio hitan i nužan za rad škole.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1.202.084,35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1.365.059,85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Na ovim kontima imamo povećanje od 13,6% jer je došlo do povećanja osnovice za plaću i knjižene su plaće za prosinac 2025. kao 13. rashod za plaću.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132.239,70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124.427,81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94,1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U ovoj grupi konta nemamo veća odstupanja, osim na kontu 3225.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952,0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S obzirom da smo u 2024.godini nabavili malo sitnog inventara, u vrijednosti 393,62 eura, u 2025. smo nabavili više pa je 3.747,21 eura u ovoj godini veliki porast od čak 952%. Nabavili smo akustičnu gitaru za glazbeni odgoj, poslovne mobitele , stolicu za</w:t>
      </w:r>
      <w:r>
        <w:t xml:space="preserve"> psihologinju, zvučnike, pluto i magnetne ploče, parni čistač, posuđe za školsku kuhinju..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251,7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Povećani iznos za zdravstvene i veterinarske usluge nastao je zbog većeg broja zaposlenika koji su obavili sistematski pregled kao i zbog troška za uslugu izrade procjene rizika kućne vodoopskrbne mreže.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350,2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U 2025. godini nismo plaćali naknadu za nezapošljavanje invalida za dvije osobe, koliko smo bili dužni pa smo to nadoknadili u ovoj godini i nastavili plaćati za dvije osobe.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187,0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Ostali nespomenuti rashodi najvećim dijelom odnose se na troškove izrade plana sigurnosti školske ustanove u iznosu 5.623,75 eura.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33.966,30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33.850,66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Općina kao i prošlih godina financira nabavku radnih materijala za sve učenike.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130.887,95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Odnose se na prihode o MZO za plaće.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177,9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Odnose se na neplaćene račune za zakup dvorane za prosinac 2025.godine.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856,9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Rashodi za izradu projektne dokumentacije za nadogradnju škole.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860AC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47.098,62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165.876,56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352,2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Manjak prihoda znatno je veći u usporedbi na prošlu godinu, zbog plaće za 12. mjesec koja je unesena kao 13.rashod za plaće u 2025.godini. 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956,9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Odnosi se na projektnu dokumentaciju za nadogradnju škole.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184,3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Odnosi se na potraživanja od HZZO za refundaciju sredstava za bolovanja iznad 42 dana.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</w:t>
            </w:r>
            <w:r>
              <w:rPr>
                <w:sz w:val="18"/>
              </w:rPr>
              <w:t xml:space="preserve">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128.929,95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 ove godine na kontu 1636 knjižimo potraživanja od MZO za plaće čim nastane obveza.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177,9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Odnosi se na potraživanja za prihode od zakupa dvorane, uglavnom za prosinac.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15.367,64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597,9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Sredstva koja prebacujemo u novu godinu, a uplaćena su većinom od MZO za namirnice i PDS, kao i vlastita i namjenska sredstva koja ćemo potrošiti u 2026. godini.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175.486,97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182.443,32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Obveze se najvećim djelom odnose na obveze za plaće za prosinac, kao i obveze prema dobavljačima i sve će biti podmirene u siječnju 2026. godine.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24.556,77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64,1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Odnosi se na obvezu za izradu projektne dokumentacije za nadogradnju škole.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130.887,95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Od 2025. uvedeno knjiženje plaća kao pomoći iz MZO na kontu 963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72.543,13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71.638,91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98,8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Dodatne usluge u obrazovanju odnose se na prehranu učenika financiranu od MZO kao projekt u osnovnim školama.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Do promjene je došlo zbog obračuna ispravka vrijednosti imovine na kraju godine.</w:t>
      </w:r>
    </w:p>
    <w:p w:rsidR="00860ACA" w:rsidRDefault="00860ACA"/>
    <w:p w:rsidR="00860ACA" w:rsidRDefault="0058146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60ACA" w:rsidRDefault="00581466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60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60A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860AC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17.100,11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60ACA" w:rsidRDefault="00581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60ACA" w:rsidRDefault="00860ACA">
      <w:pPr>
        <w:spacing w:after="0"/>
      </w:pPr>
    </w:p>
    <w:p w:rsidR="00860ACA" w:rsidRDefault="00581466">
      <w:r>
        <w:t>U izvješću OBVEZE iznos nepodmirenih obveza u iznosu  17.100,11 eura sastoji se iz dospjelih obveza prema dobavljačima za materijalne rashode i usluge, odnose se na usluge prijevoza učenika i obveze za namirnice za školsku kuhinju koje će biti plaćene u si</w:t>
      </w:r>
      <w:r>
        <w:t>ječnju 2026.g., te nedospjelih obveza u iznosu  165.343,21 eura, većim dijelom vezanih za obveze za plaće zaposlenih.</w:t>
      </w:r>
    </w:p>
    <w:p w:rsidR="00860ACA" w:rsidRDefault="00581466">
      <w:r>
        <w:t> </w:t>
      </w:r>
    </w:p>
    <w:p w:rsidR="00860ACA" w:rsidRDefault="00860ACA"/>
    <w:sectPr w:rsidR="00860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A"/>
    <w:rsid w:val="00581466"/>
    <w:rsid w:val="008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479F6-6CAC-48A8-AAD4-A0E065DA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ivana kazija</cp:lastModifiedBy>
  <cp:revision>2</cp:revision>
  <dcterms:created xsi:type="dcterms:W3CDTF">2026-02-09T09:59:00Z</dcterms:created>
  <dcterms:modified xsi:type="dcterms:W3CDTF">2026-02-09T09:59:00Z</dcterms:modified>
</cp:coreProperties>
</file>